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253. “跑步经济，跑鞋先行”——跑步运动消费与跑鞋、装备购买行为研究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研究对象：有跑步习惯（含参加马拉松/夜跑）的跑者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核心问题/变量：跑步频次、跑鞋价位与品牌偏好、装备（手表/服装）支出、赛事参与、年度消费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H1：跑步频次、跑鞋价位与品牌偏好显著影响年度消费（待验证）；H2：不同人群（年龄/收入/城市等级）在上述关系中存在调节作用（待验证）。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🔶跑步市场规模（《中国跑步白皮书》需下载）；✅全民健身与马拉松热（媒体）；✅运动鞋服市场扩容（行业🔶）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跑团/运动品牌社群渠道；与01/234题（赛事）区分：聚焦个人装备消费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🔶跑步市场规模（《中国跑步白皮书》需下载）；✅全民健身与马拉松热（媒体）；✅运动鞋服市场扩容（行业🔶）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