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394. “荧光夜跑，夜间运动潮”——夜间运动参与行为与运动消费意愿研究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研究对象：有夜间运动习惯（跑步/骑行/球类）的城市居民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核心问题/变量：运动时段偏好（晨/夜）、夜跑装备（荧光/反光）、商圈夜运动参与（荧光跑活动）、运动消费、动机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H1：运动时段偏好（晨/夜）、夜跑装备（荧光/反光）显著影响动机（待验证）；H2：不同人群（年龄/收入/城市等级）在上述关系中存在调节作用（待验证）。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✅蓝色港湾荧光夜跑带动燕莎蓝港商圈消费金额同比+43.6%（北京政府）；✅夜间时段活跃用户9.37亿；🔶夜跑赛事/夜骑活动（媒体）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夜跑团/运动社群渠道；与253题（跑步装备）区分：聚焦夜间场景与商圈联动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✅蓝色港湾荧光夜跑带动燕莎蓝港商圈消费金额同比+43.6%（北京政府）；✅夜间时段活跃用户9.37亿；🔶夜跑赛事/夜骑活动（媒体）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