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456. “攀岩入奥，岩壁人生”——攀岩抱石新兴运动消费行为与持续参与意愿研究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建议地区：杭州（可按省/市细化抽样框）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研究对象：体验过攀岩/抱石的大众消费者（尤其00后）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核心问题/变量：参与动机（解压/社交/竞技）、场馆选择（商场馆）、单次价格（门票/课程）、装备消费、持续参与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H1：参与动机（解压/社交/竞技）、场馆选择（商场馆）显著影响持续参与（待验证）；H2：不同人群（年龄/收入/城市等级）在上述关系中存在调节作用（待验证）。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✅2026年全球攀岩市场规模预计120亿美元、室内攀岩馆为主要增长动力；✅攀岩成商场标志性体验项目、从小众走向大众；✅攀岩入奥及杭州亚运会热度（已核验）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攀岩馆现场+攀岩社群；与第一批（攀岩馆）区分：聚焦消费深化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✅2026年全球攀岩市场规模预计120亿美元、室内攀岩馆为主要增长动力；✅攀岩成商场标志性体验项目、从小众走向大众；✅攀岩入奥及杭州亚运会热度（已核验）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