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457. “飞盘社交，运动交友”——新兴团队运动入坑渠道与持续参与意愿研究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研究对象：参与过飞盘/腰旗橄榄球/匹克球的新兴运动爱好者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核心问题/变量：入坑渠道（社交平台）、装备花费、活动组织（俱乐部/付费局）、社交属性、坚持率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H1：入坑渠道（社交平台）、装备花费显著影响坚持率（待验证）；H2：不同人群（年龄/收入/城市等级）在上述关系中存在调节作用（待验证）。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✅2026年中国飞盘市场规模预计突破50亿元、专业装备护具需求激增；✅"运动+社交"闭环生态、商场轻量化体验业态；✅匹克球全球兴起（媒体🔶需核验）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飞盘俱乐部/运动社群渠道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✅2026年中国飞盘市场规模预计突破50亿元、专业装备护具需求激增；✅"运动+社交"闭环生态、商场轻量化体验业态；✅匹克球全球兴起（媒体🔶需核验）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