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458. “室内滑雪，四季皆可滑”——室内滑雪消费意愿与复购意愿研究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确定行业：05_体育健身与户外运动（选择理由：贴合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研究对象：去过室内滑雪场（融创雪世界等）或冰雪研学的人群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核心问题/变量：参与动机（家门口体验/亲子/夏令营）、票价与课程、装备租赁、vs室外滑雪对比、复购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参与动机（家门口体验/亲子/夏令营）、票价与课程（复购）之间存在可检验的关系，且受群体差异（年龄/收入/地区/身份）调节（待验证）；H2：参与动机（家门口体验/亲子/夏令营）、票价与课程是影响复购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✅2025-2026冰雪季室内滑雪场客流量占比预计超25%（部分地区可能破30%）、打破季节地域限制；✅冰雪运动普及政策（"带动三亿人参与冰雪运动"）；✅冰雪经济规模（第一批已核验）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室内雪场现场+冰雪社群渠道；与01题（冰雪旅游）、滑雪培训衔接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✅2025-2026冰雪季室内滑雪场客流量占比预计超25%（部分地区可能破30%）、打破季节地域限制；✅冰雪运动普及政策（"带动三亿人参与冰雪运动"）；✅冰雪经济规模（第一批已核验）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