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459. “一起滑板，街头少年”——滑板陆冲运动参与意愿与场地需求研究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研究对象：玩滑板/陆冲板的 15—35 岁爱好者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核心问题/变量：入坑动机（潮流/自由/社交）、板类选择（双翘/长板/陆冲）、装备消费、场地需求（滑板公园）、社群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H1：入坑动机（潮流/自由/社交）、板类选择（双翘/长板/陆冲）显著影响社群（待验证）；H2：不同人群（年龄/收入/城市等级）在上述关系中存在调节作用（待验证）。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✅全球滑板市场2026年预计突破400亿美元；✅滑板入奥后从街头走向专业化商业化、成商场户外广场/屋顶热门业态；🔶中国滑板用户规模（行业数据需核验）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滑板公园/滑板店渠道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✅全球滑板市场2026年预计突破400亿美元；✅滑板入奥后从街头走向专业化商业化、成商场户外广场/屋顶热门业态；🔶中国滑板用户规模（行业数据需核验）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