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552. “拳击格斗，汗水出气”——搏击格斗训练的参与动机与持续参与意愿研究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研究对象：参与拳击/泰拳/巴西柔术训练的年轻人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核心问题/变量：格斗训练动机（防身/解压/身材）、课程费用与频次、教练信任、赛事观赛联动消费、坚持率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H1：格斗训练动机（防身/解压/身材）、课程费用与频次显著影响坚持率（待验证）；H2：不同人群（年龄/收入/城市等级）在上述关系中存在调节作用（待验证）。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🔶格斗健身行业发展数据（行业报告须下载核验）；✅全民健身计划（国务院）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格斗馆问卷+馆长访谈；区别于255（情绪解压）聚焦格斗专项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🔶格斗健身行业发展数据（行业报告须下载核验）；✅全民健身计划（国务院）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