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553. “女生撸铁，力量之美”——女性力量训练的参与动机与私教消费意愿研究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研究对象：参与力量训练/撸铁的年轻女性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核心问题/变量：女性力量训练动机（塑形/自信/健康）、对器械区刻板印象感知、女子专用健身房需求、私教消费、身材焦虑转化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女性力量训练动机（塑形/自信/健康）、对器械区刻板印象感知（身材焦虑转化）之间存在可检验的关系，且受群体差异（年龄/收入/地区/身份）调节（待验证）；H2：女性力量训练动机（塑形/自信/健康）、对器械区刻板印象感知是影响身材焦虑转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🔶女性健身消费数据（健身行业报告须下载核验）；✅全民健身与女性健康政策（体育总局、妇联）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健身房问卷+女性健身社群；区别于251（私教）聚焦女性视角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🔶女性健身消费数据（健身行业报告须下载核验）；✅全民健身与女性健康政策（体育总局、妇联）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