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554. “网球热，郑钦文效应”——网球运动的入门动机与课程装备消费意愿研究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研究对象：因球星效应新接触网球的青少年及家长、网球爱好者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核心问题/变量：网球入门动机（明星/潮流）、场地预订难度、装备与课程消费、约球社交、青少年网球培训热潮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H1：网球入门动机（明星/潮流）、场地预订难度显著影响青少年网球培训热潮（待验证）；H2：不同人群（年龄/收入/城市等级）在上述关系中存在调节作用（待验证）。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🔶网球消费增长报道（权威媒体须下载核验）；✅体育强国建设政策（国务院）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网球馆/培训机构问卷+教练访谈；区别于457（飞盘）等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🔶网球消费增长报道（权威媒体须下载核验）；✅体育强国建设政策（国务院）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