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601. “匹克球进社区，轻量新运动”——匹克球运动的入门动机与持续参与意愿研究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研究对象：参与匹克球、壁球等轻量新兴球类运动的居民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核心问题/变量：新兴球类入门动机（低门槛/社交/轻运动）、场地费用与装备消费、社群约球、与网球/羽毛球替代关系、持续参与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兴球类入门动机（低门槛/社交/轻运动）、场地费用与装备消费（持续参与）之间存在可检验的关系，且受群体差异（年龄/收入/地区/身份）调节（待验证）；H2：新兴球类入门动机（低门槛/社交/轻运动）、场地费用与装备消费是影响持续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🔶匹克球兴起报道（体育媒体须下载核验）；✅全民健身场地设施政策（体育总局）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社区球场/俱乐部问卷；获奖黑名单核对：近三年无匹克球获奖题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🔶匹克球兴起报道（体育媒体须下载核验）；✅全民健身场地设施政策（体育总局）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