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650. “马拉松热背后的冷思考”——马拉松跑者参赛支出与续赛意愿调查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研究对象：参赛马拉松跑者（含首马新手）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核心问题/变量：报名中签难度、参赛支出（报名/装备/差旅）、赛事体验（补给/奖牌）、完赛仪式感消费、续赛意愿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H1：报名中签难度、参赛支出（报名/装备/差旅）显著影响续赛意愿（待验证）；H2：不同人群（年龄/收入/城市等级）在上述关系中存在调节作用（待验证）。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🔶马拉松报名与参赛数据（田协须下载核验）；✅马拉松赛事管理规范（中国田协）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赛事渠道问卷+跑团访谈；获奖黑名单核对：近三年无马拉松参赛消费获奖题（区别于524银发跑者）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🔶马拉松报名与参赛数据（田协须下载核验）；✅马拉松赛事管理规范（中国田协）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