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711. “飞盘社群，草地上的社交”——飞盘运动参与与社群消费研究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研究对象：参与飞盘运动（社群约玩）的青年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核心问题/变量：飞盘参与动机（社交/潮流/运动）、社群组织（场地/教学/AA制）、装备消费、与足球/篮球替代、持续参与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飞盘参与动机（社交/潮流/运动）、社群组织（场地/教学/AA制）（持续参与）之间存在可检验的关系，且受群体差异（年龄/收入/地区/身份）调节（待验证）；H2：飞盘参与动机（社交/潮流/运动）、社群组织（场地/教学/AA制）是影响持续参与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🔶飞盘热潮与降温报道（体育媒体须下载核验）；✅新兴运动项目推广政策（体育总局）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飞盘社群问卷+组织者访谈；获奖黑名单核对：近三年无飞盘获奖题（区别于457飞盘泛题，聚焦社群化）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🔶飞盘热潮与降温报道（体育媒体须下载核验）；✅新兴运动项目推广政策（体育总局）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