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727. “广场舞经济，银发健身新消费”——广场舞参与行为与装备消费意愿研究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研究对象：跳广场舞的中老年人及舞队领队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核心问题/变量：广场舞参与频次、装备（音响/服装/鞋）消费、舞队组织（会费/比赛）、场地争夺感知、健康效益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广场舞参与频次、装备（音响/服装/鞋）消费（健康效益）之间存在可检验的关系，且受群体差异（年龄/收入/地区/身份）调节（待验证）；H2：广场舞参与频次、装备（音响/服装/鞋）消费是影响健康效益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🔶广场舞消费报道（媒体须下载核验）；✅全民健身与广场舞管理政策（体育总局）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广场舞场地问卷+领队访谈；获奖黑名单核对：近三年无广场舞消费获奖题（区别于468银发文娱清理）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🔶广场舞消费报道（媒体须下载核验）；✅全民健身与广场舞管理政策（体育总局）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