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074. “滑雪场上，装备升级”——冰雪运动装备购买意愿与国产品牌认知研究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研究对象：冰雪运动爱好者（滑雪/滑冰）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核心问题/变量：参与水平、装备购买行为、国产vs进口偏好、消费升级意愿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H1：参与水平、装备购买行为显著影响消费升级意愿（待验证）；H2：不同人群（年龄/收入/城市等级）在上述关系中存在调节作用（待验证）。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冰雪经济总规模首次突破万亿元（国家体育总局冬运中心《大众冰雪消费市场研究报告(2025—2026冰雪季)》）；✅国产冰雪装备（滑雪板、雪蜡车等）通过跨境电商"出海"（新华网）；✅冰雪产业2016年3647亿元→2024年9800亿元（年均增幅21.09%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雪场/装备店/滑雪社群渠道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2025年冰雪经济总规模首次突破万亿元（国家体育总局冬运中心《大众冰雪消费市场研究报告(2025—2026冰雪季)》）；✅国产冰雪装备（滑雪板、雪蜡车等）通过跨境电商"出海"（新华网）；✅冰雪产业2016年3647亿元→2024年9800亿元（年均增幅21.09%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