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075. “旱雪四季滑，南方滑雪梦”——南方消费者室内滑雪体验满意度与复购意愿研究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建议地区：上海（可按省/市细化抽样框）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研究对象：南方城市去室内滑雪场/冰场的消费者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核心问题/变量：体验动机、价格敏感度、满意度、复购意愿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H1：体验动机、价格敏感度显著影响复购意愿（待验证）；H2：不同人群（年龄/收入/城市等级）在上述关系中存在调节作用（待验证）。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✅冰雪旅游从"看雪"到"玩雪"、大众冰雪消费多点向好（微博报告引述）；✅冰雪经济破万亿后进入"全民参与"阶段（中国旅游研究院）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室内滑雪馆（广州/上海/深圳等）现场调研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✅冰雪旅游从"看雪"到"玩雪"、大众冰雪消费多点向好（微博报告引述）；✅冰雪经济破万亿后进入"全民参与"阶段（中国旅游研究院）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