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876. “运动损伤康复，别让小伤变大”——运动康复机构选择因素与康复效果评价研究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研究对象：经历运动损伤并接受康复（机构/医院）的运动爱好者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核心问题/变量：运动损伤类型（膝/踝/腰）、康复机构（运动康复vs医院理疗）选择、康复费用与疗程、恢复效果、防复发训练、保险报销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运动损伤类型（膝/踝/腰）、康复机构（运动康复vs医院理疗）选择（保险报销）之间存在可检验的关系，且受群体差异（年龄/收入/地区/身份）调节（待验证）；H2：运动损伤类型（膝/踝/腰）、康复机构（运动康复vs医院理疗）选择是影响保险报销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🔶运动康复产业发展（体育产业政策须下载核验）；✅运动医学诊疗规范（卫健委）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康复机构渠道问卷+治疗师访谈；获奖黑名单核对：近三年无运动康复获奖题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🔶运动康复产业发展（体育产业政策须下载核验）；✅运动医学诊疗规范（卫健委）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