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904. “舞龙舞狮进校园，非遗体育课”——传统体育进校园学生参与意愿与课程效果评价调查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研究对象：开展传统体育课程的中小学师生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核心问题/变量：传统体育进课堂（舞龙/武术/八段锦）、学生兴趣参与度、师资与器材、与传统课间操对比、文化传承效果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传统体育进课堂（舞龙/武术/八段锦）、学生兴趣参与度（文化传承效果）之间存在可检验的关系，且受群体差异（年龄/收入/地区/身份）调节（待验证）；H2：传统体育进课堂（舞龙/武术/八段锦）、学生兴趣参与度是影响文化传承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🔶传统体育进校园政策（教育部、体育总局）；🔶非遗体育课程案例（须下载核验）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学校渠道问卷+体育教师访谈；获奖黑名单核对：近三年无传统体育进校园获奖题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🔶传统体育进校园政策（教育部、体育总局）；🔶非遗体育课程案例（须下载核验）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