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919. “桨板SUP，水上新运动”——桨板与皮划艇玩家的参与动机及复玩意愿调查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研究对象：体验桨板/皮划艇（含俱乐部课）的玩家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核心问题/变量：水上运动参与动机（亲水/社交/亲子）、俱乐部课程与装备、单次体验价（百元级）、安全（救生衣）认知、复玩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水上运动参与动机（亲水/社交/亲子）、俱乐部课程与装备（复玩）之间存在可检验的关系，且受群体差异（年龄/收入/地区/身份）调节（待验证）；H2：水上运动参与动机（亲水/社交/亲子）、俱乐部课程与装备是影响复玩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🔶水上运动产业发展政策（体育总局）；🔶桨板市场报道（须下载核验）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水上俱乐部问卷+教练访谈；获奖黑名单核对：近三年无桨板获奖题（区别于551桨板皮划艇泛题，聚焦消费升级）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🔶水上运动产业发展政策（体育总局）；🔶桨板市场报道（须下载核验）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