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959. “匹克球社交局，年轻中产”——匹克球社群消费行为与持续参与意愿调查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研究对象：参与匹克球社群活动（约球/比赛）的年轻中产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核心问题/变量：匹克球社交属性（搭子/局）、场地约球平台、装备与服装消费、社群组织、与网球/羽毛球迁移、持续参与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匹克球社交属性（搭子/局）、场地约球平台（持续参与）之间存在可检验的关系，且受群体差异（年龄/收入/地区/身份）调节（待验证）；H2：匹克球社交属性（搭子/局）、场地约球平台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🔶新兴球类运动推广政策（体育总局）；🔶匹克球热度数据（须下载核验）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匹克球社群问卷+场馆访谈；获奖黑名单核对：近三年无匹克球获奖题（区别于601匹克球消费泛题，聚焦社交化）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🔶新兴球类运动推广政策（体育总局）；🔶匹克球热度数据（须下载核验）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