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1047. “药膳茶饮，新中式养生水”——新中式养生饮品消费动机与复购意愿调查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研究对象：消费新中式养生饮品（枸杞红枣水/药膳炖品/养生茶）的消费者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核心问题/变量：养生饮品消费动机（熬夜补救/节气养生）、配料表信任（真材实料）、价格接受（高于普通茶饮）、复购场景、功效预期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H1：养生饮品消费动机（熬夜补救/节气养生）、配料表信任（真材实料）显著影响功效预期（待验证）；H2：不同人群（年龄/收入/城市等级）在上述关系中存在调节作用（待验证）。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🔶饮品食品安全与功效宣传规范（市场监管总局）；🔶养生茶饮市场数据（须下载核验）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茶饮门店问卷+品牌研发访谈；获奖黑名单核对：近三年无新中式养生饮品获奖题（区别于808中药代茶饮，聚焦商业茶饮品牌）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🔶饮品食品安全与功效宣传规范（市场监管总局）；🔶养生茶饮市场数据（须下载核验）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