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1140. “县区米其林，本地人爱吃”——县域特色餐饮食客消费偏好及复购意愿调查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研究对象：光顾县域排队爆店（本地特色菜）的食客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核心问题/变量：县域爆店（排队/网红化）、本地食材招牌菜、价格亲民、外卖与堂食、游客打卡vs本地常客、复购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H1：县域爆店（排队/网红化）、本地食材招牌菜显著影响复购（待验证）；H2：不同人群（年龄/收入/城市等级）在上述关系中存在调节作用（待验证）。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🔶县域商业与餐饮提升政策（商务部）；🔶县域餐饮出圈报道（须下载核验）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县域爆店实地问卷+店主访谈；获奖黑名单核对：近三年无县域爆店获奖题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🔶县域商业与餐饮提升政策（商务部）；🔶县域餐饮出圈报道（须下载核验）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