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1142. “老字号新生，百年老店焕新”——消费者老字号焕新门店消费偏好及接受度调查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研究对象：光顾老字号焕新门店（年轻化改造）的消费者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核心问题/变量：老字号焕新内容（产品/包装/门店）、怀旧与创新平衡、国潮包装消费、与新兴品牌竞争、年轻客群比例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H1：老字号焕新内容（产品/包装/门店）、怀旧与创新平衡显著影响年轻客群比例（待验证）；H2：不同人群（年龄/收入/城市等级）在上述关系中存在调节作用（待验证）。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🔶老字号创新与保护政策（商务部）；🔶老字号焕新案例数据（须下载核验）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老字号门店问卷+企业访谈；获奖黑名单核对：近三年无老字号焕新获奖题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🔶老字号创新与保护政策（商务部）；🔶老字号焕新案例数据（须下载核验）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