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1145. “地方菜进城，地道风味馆”——地方菜馆进城食客消费意愿及家乡味道认同调查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研究对象：光顾异地开店的家乡菜/地方菜馆的食客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核心问题/变量：地方菜进城（川湘/粤/东北菜）、家乡味道认同（老乡客流）、本地化改良、供应链（食材空运）、品牌连锁化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H1：地方菜进城（川湘/粤/东北菜）、家乡味道认同（老乡客流）显著影响品牌连锁化（待验证）；H2：不同人群（年龄/收入/城市等级）在上述关系中存在调节作用（待验证）。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🔶餐饮品牌连锁政策（商务部）；🔶地方菜进城数据（行业报告须下载核验）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地方菜馆问卷+餐企访谈；获奖黑名单核对：近三年无地方菜进城获奖题（区别于703地方菜泛题，聚焦异地扩张）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🔶餐饮品牌连锁政策（商务部）；🔶地方菜进城数据（行业报告须下载核验）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