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1198. “社区烘焙工坊，现烤现卖香”——社区居民现烤烘焙需求与购买意愿研究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研究对象：光顾社区烘焙工坊（现烤现卖）的居民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核心问题/变量：社区烘焙选择（现烤vs预包装）、面包新鲜度感知、价格带与复购、社区选址（出家门即达）、新品（低糖/全麦）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H1：社区烘焙选择（现烤vs预包装）、面包新鲜度感知显著影响新品（低糖/全麦）（待验证）；H2：不同人群（年龄/收入/城市等级）在上述关系中存在调节作用（待验证）。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🔶烘焙食品生产规范（市场监管总局）；🔶社区烘焙市场数据（须下载核验）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烘焙门店实地问卷+店主访谈；获奖黑名单核对：近三年无社区烘焙获奖题（区别于839现烤面包泛题，聚焦社区业态）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🔶烘焙食品生产规范（市场监管总局）；🔶社区烘焙市场数据（须下载核验）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