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1199. “早餐工程，惠民早餐车”——上班族惠民早餐车消费需求与使用意愿研究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研究对象：使用惠民早餐工程（早餐车/标准化早餐店）的上班族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核心问题/变量：早餐工程覆盖（早餐车点位）、早餐价格与卫生、营养搭配（品类）、出餐速度、与街边摊对比、满意度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早餐工程覆盖（早餐车点位）、早餐价格与卫生（满意度）之间存在可检验的关系，且受群体差异（年龄/收入/地区/身份）调节（待验证）；H2：早餐工程覆盖（早餐车点位）、早餐价格与卫生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🔶早餐示范工程建设政策（商务部）；🔶早餐市场数据（须下载核验）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早餐车问卷+商务部门访谈；获奖黑名单核对：近三年无早餐工程获奖题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🔶早餐示范工程建设政策（商务部）；🔶早餐市场数据（须下载核验）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