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1246. “以形补形热，养生人设餐饮”——养生火锅功效期待与消费意愿调查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研究对象：消费养生火锅/汤锅（药膳汤底）的食客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核心问题/变量：养生火锅选择（菌汤/药膳锅底）、健康人设消费、价格带、真实功效期待（vs营销）、复购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H1：养生火锅选择（菌汤/药膳锅底）、健康人设消费显著影响复购（待验证）；H2：不同人群（年龄/收入/城市等级）在上述关系中存在调节作用（待验证）。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🔶火锅行业与食品安全规范（市场监管总局）；🔶养生火锅市场数据（须下载核验）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火锅门店问卷+品牌访谈；获奖黑名单核对：近三年无养生火锅获奖题（区别于887/1200药膳，聚焦火锅业态）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🔶火锅行业与食品安全规范（市场监管总局）；🔶养生火锅市场数据（须下载核验）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