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166. “年菜礼盒，年夜饭新解”——预制、现制年夜饭礼盒消费意愿研究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研究对象：18—50岁为家庭准备年夜饭的消费者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核心问题/变量：购买动机（省事/仪式感）、品类偏好（盆菜/加工菜）、价格接受、食品安全顾虑、复购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H1：购买动机（省事/仪式感）、品类偏好（盆菜/加工菜）显著影响复购（待验证）；H2：不同人群（年龄/收入/城市等级）在上述关系中存在调节作用（待验证）。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✅年菜市场2026年预计2626.4亿元（行业测算）；🔶年夜饭"下馆子vs年菜礼盒"讨论（媒体）；✅预制菜政策规范（第二批21题有预制菜，本题聚焦节庆礼盒场景）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电商年货节/餐饮品牌年菜渠道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✅年菜市场2026年预计2626.4亿元（行业测算）；🔶年夜饭"下馆子vs年菜礼盒"讨论（媒体）；✅预制菜政策规范（第二批21题有预制菜，本题聚焦节庆礼盒场景）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