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167. “共享厨房，烟火共享”——社区共享厨房使用需求与参与意愿调查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研究对象：对共享厨房（烘焙共享/社区烹饪）感兴趣的社区家庭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核心问题/变量：使用场景（烘焙/亲子/社群）、费用接受、卫生信任、社交功能、参与意愿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烘焙/亲子/社群）、费用接受（参与意愿）之间存在可检验的关系，且受群体差异（年龄/收入/地区/身份）调节（待验证）；H2：使用场景（烘焙/亲子/社群）、费用接受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🔶共享厨房为社区商业新模式（一线城市案例媒体）；✅社区餐饮1.2万亿元大盘背景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社区活动中心/亲子社群渠道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🔶共享厨房为社区商业新模式（一线城市案例媒体）；✅社区餐饮1.2万亿元大盘背景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