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168. “深夜食堂，城市温度”——城市夜间餐饮消费行为与满意度调查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研究对象：有夜间外出就餐/夜宵习惯的城市居民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核心问题/变量：消费时段、品类偏好、人均支出、卫生安全顾虑、满意度、夜间经济带动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H1：消费时段、品类偏好显著影响夜间经济带动（待验证）；H2：不同人群（年龄/收入/城市等级）在上述关系中存在调节作用（待验证）。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✅商务部培育夜间消费集聚区（政策背景）；🔶"深夜食堂"餐饮业态报道（媒体）；✅2026上半年餐饮消费数据（🔶最新口径待核）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夜市/宵夜街区现场调研；与第三批88题（县域夜经济）区分：聚焦都市深夜食堂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✅商务部培育夜间消费集聚区（政策背景）；🔶"深夜食堂"餐饮业态报道（媒体）；✅2026上半年餐饮消费数据（🔶最新口径待核）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