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175. “情绪茶饮，一杯解压”——新茶饮悦己消费动机与复购意愿研究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研究对象：为新茶饮"情绪联名/治愈系包装"买过单的 18—30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核心问题/变量：消费动机（解压/场景/IP）、月均杯数支出、情绪价值vs口味比重、复购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H1：消费动机（解压/场景/IP）、月均杯数支出显著影响复购（待验证）；H2：不同人群（年龄/收入/城市等级）在上述关系中存在调节作用（待验证）。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✅新茶饮2026年预计突破3700亿元；✅22—30岁消费者占70%、72.1%每周买3次以上（艾媒）；✅"情绪疗愈"类茶饮搜索量+40%（小红书2025双十一）；✅爷爷不泡茶"情绪研发"、卡皮巴拉IP案例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茶饮门店/社交平台用户渠道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✅新茶饮2026年预计突破3700亿元；✅22—30岁消费者占70%、72.1%每周买3次以上（艾媒）；✅"情绪疗愈"类茶饮搜索量+40%（小红书2025双十一）；✅爷爷不泡茶"情绪研发"、卡皮巴拉IP案例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