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206. “社区精酿，微醺社交”——社区小酒馆消费的品类偏好与性价比感知研究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研究对象：去过精酿酒吧/社区小酒馆的 20—40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核心问题/变量：消费频次、客单价、微醺社交动机、品类偏好（精酿/低度酒）、性价比感知、复购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H1：消费频次、客单价显著影响复购（待验证）；H2：不同人群（年龄/收入/城市等级）在上述关系中存在调节作用（待验证）。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🔶精酿啤酒市场增速（中国酒业协会数据需核验）；✅低度酒/微醺经济媒体讨论（需引原文）；✅情绪社交消费背景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精酿门店/酒馆社群渠道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🔶精酿啤酒市场增速（中国酒业协会数据需核验）；✅低度酒/微醺经济媒体讨论（需引原文）；✅情绪社交消费背景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