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021. “预制上桌，健康先行”——消费者对低盐、低脂、高蛋白预制菜的需求偏好研究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选题规范化（呆塔大师兄（微信：a237658765））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研究阶段：early（早期：需求调查与市场机会挖掘）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建议地区：南京（可按省/市细化抽样框）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确定行业：06_餐饮食品（选择理由：贴合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研究对象：双职工家庭、独居青年和健身人群。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核心问题/变量：便利性、营养成分、配料表关注、口味、价格、复购意愿。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H1：便利性、营养成分显著影响复购意愿。（待验证）；H2：不同人群（年龄/收入/城市等级）在上述关系中存在调节作用（待验证）。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S8，2026 年预制菜行业调研；南京市民预制菜消费意愿调查；正大企业命题清单。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产品概念测试、联合分析和价格测试。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S8，2026 年预制菜行业调研；南京市民预制菜消费意愿调查；正大企业命题清单。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