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022. “冷链到家，品质可见”——速冻食品冷链配送体验与复购意愿研究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研究对象：购买速冻食品的家庭消费者。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核心问题/变量：配送时效、温度感知、包装完整度、食品安全信任、复购意愿。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H1：配送时效、温度感知显著影响复购意愿。（待验证）；H2：不同人群（年龄/收入/城市等级）在上述关系中存在调节作用（待验证）。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S8，预制菜与食品消费研究；正大企业命题清单速冻食品方向。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比较即时零售、社区团购和传统商超渠道。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S8，预制菜与食品消费研究；正大企业命题清单速冻食品方向。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