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239. “早餐工程，烟火民生”——城市早餐消费的时间成本与卫生营养关注调查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研究对象：城市上班族/学生（有早餐消费习惯）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核心问题/变量：早餐方式（在家/路边/便利店/预制）、消费金额、时间成本、卫生与营养关注、外卖早餐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H1：早餐方式（在家/路边/便利店/预制）、消费金额显著影响外卖早餐（待验证）；H2：不同人群（年龄/收入/城市等级）在上述关系中存在调节作用（待验证）。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🔶早餐市场规模（行业报告需核验）；✅商务部"早餐工程"政策（便民早餐网点建设背景）；✅预制早餐兴起（媒体🔶）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早餐摊/便利店现场+线上问卷；民生切口、贴近生活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🔶早餐市场规模（行业报告需核验）；✅商务部"早餐工程"政策（便民早餐网点建设背景）；✅预制早餐兴起（媒体🔶）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