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279. “礼盒经济，一盒情意”——节日礼盒的购买动机与包装口味偏好研究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研究对象：购买过节日礼盒的 18—55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核心问题/变量：购买场景（送礼/自用）、价格带、包装与口味偏好、过度包装感知、健康取向（低糖）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H1：购买场景（送礼/自用）、价格带显著影响健康取向（低糖）（待验证）；H2：不同人群（年龄/收入/城市等级）在上述关系中存在调节作用（待验证）。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🔶礼盒市场（食品行业报告需核验）；✅月饼/年货市场规模（行业媒体数据🔶）；✅《限制商品过度包装要求》新国标（市场监管总局政策）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商超/电商渠道；主题贴近民生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🔶礼盒市场（食品行业报告需核验）；✅月饼/年货市场规模（行业媒体数据🔶）；✅《限制商品过度包装要求》新国标（市场监管总局政策）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