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298. “机器人上菜，智能餐饮”——智能餐饮的人机交互体验与复购意愿调查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研究对象：去过有送餐机器人/智能点餐的餐厅的消费者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核心问题/变量：体验动机（新鲜/效率）、服务满意度、人机交互舒适度、价格感知、复购意愿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H1：体验动机（新鲜/效率）、服务满意度显著影响复购意愿（待验证）；H2：不同人群（年龄/收入/城市等级）在上述关系中存在调节作用（待验证）。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🔶餐饮机器人市场（行业报告需核验）；✅服务机器人产业政策（工信部背景）；✅AI终端消费扩容（新华网）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智能餐饮门店现场调研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🔶餐饮机器人市场（行业报告需核验）；✅服务机器人产业政策（工信部背景）；✅AI终端消费扩容（新华网）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