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359. “校园外卖，最后一公里的学生经济”——大学生外卖消费行为与取餐服务满意度研究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研究对象：在校大学生（有外卖/快递/打印等消费）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核心问题/变量：外卖频次与花费、取餐方式（外卖柜/校门口）、快递服务、校园商业需求、满意度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H1：外卖频次与花费、取餐方式（外卖柜/校门口）显著影响满意度（待验证）；H2：不同人群（年龄/收入/城市等级）在上述关系中存在调节作用（待验证）。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🔶校园外卖渗透（团餐/外卖平台数据需核验）；✅大学生群体消费（艾媒报告🔶）；✅即时零售1万亿背景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高校渠道（直接对接学生）；评委熟悉校园场景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🔶校园外卖渗透（团餐/外卖平台数据需核验）；✅大学生群体消费（艾媒报告🔶）；✅即时零售1万亿背景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