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035. “一人食光，孤独有市”——独居青年一人食消费意愿与情感满足感研究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确定行业：06_餐饮食品（选择理由：贴合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研究对象：独居/异地求学就业的青年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核心问题/变量：孤独感、一人消费意愿、场景类型、体验满意度、情感补偿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H1：孤独感、一人消费意愿显著影响情感补偿（待验证）；H2：不同人群（年龄/收入/城市等级）在上述关系中存在调节作用（待验证）。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- **参考来源**：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