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387. “日咖夜酒，混合业态”——日咖夜酒复合门店消费行为与复购意愿研究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研究对象：去过日咖夜酒/早C晚A门店（咖啡+酒馆）的 20—35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核心问题/变量：到店时段分布（白天咖啡/晚上酒）、消费场景（办公/社交）、人均花费、空间体验、复购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H1：到店时段分布（白天咖啡/晚上酒）、消费场景（办公/社交）显著影响复购（待验证）；H2：不同人群（年龄/收入/城市等级）在上述关系中存在调节作用（待验证）。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🔶"日咖夜酒"业态兴起（行业媒体需核验）；✅咖啡市场3549亿（第三批已核验）；✅"小酒馆+咖啡"连锁案例（海伦司/Seesaw等）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复合门店现场+大众点评用户渠道；与140题（咖啡）区分：聚焦复合业态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🔶"日咖夜酒"业态兴起（行业媒体需核验）；✅咖啡市场3549亿（第三批已核验）；✅"小酒馆+咖啡"连锁案例（海伦司/Seesaw等）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