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443. “药膳茶饮，吃出养生”——药膳食养餐饮消费行为与复购意愿研究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研究对象：消费过药膳餐厅/养生茶饮/炖品店的顾客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核心问题/变量：消费动机（养生/尝鲜/送礼）、品类（汤羹/茶饮/糕点）、价格接受、功效信任、复购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H1：消费动机（养生/尝鲜/送礼）、品类（汤羹/茶饮/糕点）显著影响复购（待验证）；H2：不同人群（年龄/收入/城市等级）在上述关系中存在调节作用（待验证）。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🔶药膳市场规模（行业报告需核验）；✅"药食同源"目录扩增（卫健委，第十三批证据）；✅新中式养生消费（媒体）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药膳餐厅/养生茶饮店现场问卷；与295题（功能性零食）区分：聚焦餐饮场景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🔶药膳市场规模（行业报告需核验）；✅"药食同源"目录扩增（卫健委，第十三批证据）；✅新中式养生消费（媒体）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