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558. “手冲咖啡，慢煮时光”——手冲精品咖啡的消费行为与烘焙参与意愿研究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研究对象：在家手冲/玩咖啡豆烘焙的精品咖啡爱好者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核心问题/变量：精品咖啡入门路径、豆子/器具（磨豆机/手冲壶）消费、烘焙DIY参与、线上课程与杯测活动、与连锁咖啡对比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精品咖啡入门路径、豆子/器具（磨豆机/手冲壶）消费（与连锁咖啡对比）之间存在可检验的关系，且受群体差异（年龄/收入/地区/身份）调节（待验证）；H2：精品咖啡入门路径、豆子/器具（磨豆机/手冲壶）消费是影响与连锁咖啡对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🔶精品咖啡器具市场数据（行业报告须下载核验）；✅咖啡产业政策（农业农村部）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咖啡社群问卷+烘焙商访谈；区别于488（社区咖啡角）聚焦器具与DIY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🔶精品咖啡器具市场数据（行业报告须下载核验）；✅咖啡产业政策（农业农村部）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