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559. “低度微醺，无糖也快乐”——低度酒饮品的饮用场景偏好与无糖选择动机研究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研究对象：偏好低度酒（果酒/预调酒）或无糖饮品的年轻人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核心问题/变量：低度酒饮用场景（独酌/聚会）、无糖/零卡选择动机（控糖/身材）、价格带、品牌营销接受度、与烈酒对比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H1：低度酒饮用场景（独酌/聚会）、无糖/零卡选择动机（控糖/身材）显著影响与烈酒对比（待验证）；H2：不同人群（年龄/收入/城市等级）在上述关系中存在调节作用（待验证）。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🔶低度酒市场数据（酒类行业报告须下载核验）；✅健康中国减糖行动政策（卫健委）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餐饮/超市渠道问卷+酒饮社群；区别于206（社区精酿）聚焦低度与无糖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🔶低度酒市场数据（酒类行业报告须下载核验）；✅健康中国减糖行动政策（卫健委）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