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center"/>
      </w:pPr>
      <w:r>
        <w:rPr>
          <w:rFonts w:ascii="宋体" w:hAnsi="宋体" w:eastAsia="宋体"/>
          <w:b/>
          <w:color w:val="6663B2"/>
          <w:sz w:val="30"/>
        </w:rPr>
        <w:t>560. “小吃街数字化，扫码尝遍”——文旅小吃街的数字化消费体验与食品安全感知研究</w:t>
      </w:r>
    </w:p>
    <w:p>
      <w:pPr>
        <w:spacing w:after="200"/>
        <w:jc w:val="center"/>
      </w:pPr>
      <w:r>
        <w:rPr>
          <w:rFonts w:ascii="宋体" w:hAnsi="宋体" w:eastAsia="宋体"/>
          <w:b w:val="0"/>
          <w:color w:val="837292"/>
          <w:sz w:val="18"/>
        </w:rPr>
        <w:t>正大杯选题档案 · 选题规范化（呆塔大师兄（微信：a237658765））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一、选题定位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项目类型：市场调查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研究阶段：mid（中期：消费意愿及影响因素）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建议地区：全国（可落地为任一代表性城市/县域，按当地资源细化抽样）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确定行业：06_餐饮食品（选择理由：贴合 2025–2026 最新政策/市场/社会趋势，参考来源见下；该方向研究对象与样本渠道明确，可转为问卷/访谈设计，且近三年获奖名单无直接重复题。）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研究对象：在文旅小吃街/美食集市消费的游客与市民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核心问题/变量：小吃街选择动机、扫码点单/支付体验、网红摊位打卡消费、食品安全感知、智慧街区（导览/排队）评价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二、生成假设（待验证）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H1：小吃街选择动机、扫码点单/支付体验显著影响智慧街区（导览/排队）评价（待验证）；H2：不同人群（年龄/收入/城市等级）在上述关系中存在调节作用（待验证）。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三、选题依据（信息时间范围：2025–2026）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🔶智慧美食街区案例报道（媒体须下载核验）；✅餐饮业数字化政策（商务部）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四、可行性提示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小吃街实地问卷+商户访谈；区别于296（地方小吃品牌）聚焦街区数字化 可进一步明确抽样框、样本量与问卷/访谈工具，形成完整调研方案。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五、参考来源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🔶智慧美食街区案例报道（媒体须下载核验）；✅餐饮业数字化政策（商务部）</w:t>
      </w:r>
    </w:p>
    <w:p>
      <w:pPr>
        <w:spacing w:after="160"/>
      </w:pPr>
      <w:r>
        <w:rPr>
          <w:rFonts w:ascii="宋体" w:hAnsi="宋体" w:eastAsia="宋体"/>
          <w:b w:val="0"/>
          <w:color w:val="837292"/>
          <w:sz w:val="18"/>
        </w:rPr>
        <w:t>※ 检索状态说明：本档案基于 2025–2026 公开政策、行业报告与媒体线索整理（降级模式，部分来源未逐条联网复核）；✅=官方/权威媒体可直接引用，🔶=行业报告/媒体线索，参赛前须下载原文核对。近三年获奖黑名单已逐题避重核验。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