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645. “社区食堂，年轻人也来了”——社区食堂年轻客群就餐动机与菜品偏好调查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研究对象：在社区食堂就餐的年轻人、上班族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核心问题/变量：年轻人进社区食堂动机（便宜/健康/便捷）、菜品与时段偏好、与外卖对比、银发优先与混龄共餐、满意度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年轻人进社区食堂动机（便宜/健康/便捷）、菜品与时段偏好（满意度）之间存在可检验的关系，且受群体差异（年龄/收入/地区/身份）调节（待验证）；H2：年轻人进社区食堂动机（便宜/健康/便捷）、菜品与时段偏好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✅社区食堂惠民政策（商务部、民政部）；🔶社区食堂发展报道（央媒须下载核验）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社区食堂实地问卷；获奖黑名单核对：近三年无社区食堂全龄获奖题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✅社区食堂惠民政策（商务部、民政部）；🔶社区食堂发展报道（央媒须下载核验）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