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703. “地方菜馆进城，家乡味出圈”——异乡消费者地方菜馆消费意愿及口味正宗性感知研究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研究对象：在异乡选择地方菜馆（家乡味）的消费者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核心问题/变量：异乡家乡菜消费动机（思乡/口味）、地方菜馆出圈路径（网红菜/连锁）、口味正宗性感知、性价比、复购忠诚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H1：异乡家乡菜消费动机（思乡/口味）、地方菜馆出圈路径（网红菜/连锁）显著影响复购忠诚（待验证）；H2：不同人群（年龄/收入/城市等级）在上述关系中存在调节作用（待验证）。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🔶地方菜扩张报道（餐饮媒体须下载核验）；✅餐饮业促消费政策（商务部）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地方菜馆实地问卷+品牌方访谈；获奖黑名单核对：近三年无地方菜进城获奖题（区别于667小吃品牌化）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🔶地方菜扩张报道（餐饮媒体须下载核验）；✅餐饮业促消费政策（商务部）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