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744. “精酿啤酒节，微醺社交场”——精酿啤酒消费体验评价与品牌认知研究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研究对象：参加精酿啤酒节/泡精酿吧的年轻消费者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核心问题/变量：精酿消费动机（风味/社交/打卡）、单杯价格接受、国产精酿品牌认知、配餐饮食联动、参与频次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H1：精酿消费动机（风味/社交/打卡）、单杯价格接受显著影响参与频次（待验证）；H2：不同人群（年龄/收入/城市等级）在上述关系中存在调节作用（待验证）。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🔶精酿啤酒市场数据（行业报告须下载核验）；✅酒类消费规范（市场监管总局）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啤酒节现场问卷+精酿从业者访谈；获奖黑名单核对：近三年无精酿啤酒节获奖题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🔶精酿啤酒市场数据（行业报告须下载核验）；✅酒类消费规范（市场监管总局）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