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761. “M9和牛不是唯一，国产牛肉崛起”——国产牛肉（和牛、黄牛）品质认知与消费升级研究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研究对象：购买高端牛肉（国产和牛/黄牛肉）的家庭与餐饮商户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核心问题/变量：牛肉消费升级（部位/等级认知）、国产vs进口选择、价格接受、品牌信任（地理标志）、餐饮端应用、替代猪肉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H1：牛肉消费升级（部位/等级认知）、国产vs进口选择显著影响替代猪肉（待验证）；H2：不同人群（年龄/收入/城市等级）在上述关系中存在调节作用（待验证）。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🔶国产牛肉市场数据（农业农村部、行业报告须下载核验）；✅肉牛产业政策（农业农村部）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生鲜渠道问卷+养殖企业访谈；获奖黑名单核对：近三年无国产牛肉获奖题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🔶国产牛肉市场数据（农业农村部、行业报告须下载核验）；✅肉牛产业政策（农业农村部）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