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779. “社区咖啡馆，第三空间下沉”——社区咖啡馆消费动机与复购行为研究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研究对象：常去社区咖啡馆（非连锁/社区店）的消费者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核心问题/变量：社区咖选择动机（近/安静/人情味）、主理人社交连接、复购频次、与连锁/瑞幸对比、社区活动参与、价格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H1：社区咖选择动机（近/安静/人情味）、主理人社交连接显著影响价格（待验证）；H2：不同人群（年龄/收入/城市等级）在上述关系中存在调节作用（待验证）。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🔶社区咖啡馆业态报道（媒体须下载核验）；✅咖啡产业与社区商业政策（商务部）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社区咖实地问卷+主理人访谈；获奖黑名单核对：近三年无社区咖啡馆获奖题（区别于488咖啡角/599村咖）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🔶社区咖啡馆业态报道（媒体须下载核验）；✅咖啡产业与社区商业政策（商务部）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