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796. “无糖茶饮大战，健康水替”——无糖茶饮消费与健康认知研究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研究对象：购买无糖茶饮（东方树叶/三得利类）的消费者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核心问题/变量：无糖选择动机（控糖/健康）、甜味剂认知争议、喝无糖茶的场景（代水/解腻）、品牌心智、价格接受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H1：无糖选择动机（控糖/健康）、甜味剂认知争议显著影响价格接受（待验证）；H2：不同人群（年龄/收入/城市等级）在上述关系中存在调节作用（待验证）。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🔶无糖茶饮市场数据（行业报告须下载核验）；✅减糖行动与健康中国（卫健委）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便利店/商超问卷+品牌调研；获奖黑名单核对：近三年无无糖茶饮获奖题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🔶无糖茶饮市场数据（行业报告须下载核验）；✅减糖行动与健康中国（卫健委）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