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803. “深夜食堂，都市夜归人”——都市夜归人夜间餐饮品类偏好与消费意愿研究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研究对象：深夜（21点后）就餐/点宵夜的都市年轻人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核心问题/变量：夜间餐饮场景（加班/聚会/刷剧）、品类偏好（烧烤/粥粉面）、外卖vs堂食、夜间配送费、健康顾虑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H1：夜间餐饮场景（加班/聚会/刷剧）、品类偏好（烧烤/粥粉面）显著影响健康顾虑（待验证）；H2：不同人群（年龄/收入/城市等级）在上述关系中存在调节作用（待验证）。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🔶夜间经济促进政策（商务部）；🔶夜间餐饮消费数据（平台报告须下载核验）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夜间商圈问卷+外卖平台数据；获奖黑名单核对：近三年无深夜食堂获奖题（区别于88县域夜经济）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🔶夜间经济促进政策（商务部）；🔶夜间餐饮消费数据（平台报告须下载核验）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